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59034" w14:textId="77777777" w:rsidR="000A4282" w:rsidRPr="00145BF7" w:rsidRDefault="009C0358">
      <w:pPr>
        <w:pStyle w:val="Normal1"/>
        <w:widowControl w:val="0"/>
        <w:spacing w:line="240" w:lineRule="auto"/>
        <w:jc w:val="both"/>
        <w:rPr>
          <w:rFonts w:ascii="Century Gothic" w:eastAsia="Century Gothic" w:hAnsi="Century Gothic" w:cs="Century Gothic"/>
          <w:lang w:val="es-ES_tradnl"/>
        </w:rPr>
      </w:pPr>
      <w:r w:rsidRPr="00145BF7">
        <w:rPr>
          <w:rFonts w:ascii="Century Gothic" w:eastAsia="Century Gothic" w:hAnsi="Century Gothic" w:cs="Century Gothic"/>
          <w:lang w:val="es-ES_tradnl"/>
        </w:rPr>
        <w:t>Desde el mes de enero hasta el mes de marzo del 2017, se realizó el trabajo comunitario de Ciudad Mural La Paz, conociendo a los ciudadanos, creando conexiones con organizaciones de la sociedad civil y con actores clave de la comunidad para juntos trabajar en el Centro Histórico de La Paz.  Esto  permitió que se facilitara un movimiento excepcional, un proyecto sin precedente en La Paz, Baja California Sur que generó la participación de más de 200 voluntarios paceños y 10 organizaciones de la sociedad civil.</w:t>
      </w:r>
    </w:p>
    <w:p w14:paraId="23EA122E" w14:textId="77777777" w:rsidR="000A4282" w:rsidRPr="00145BF7" w:rsidRDefault="000A4282">
      <w:pPr>
        <w:pStyle w:val="Normal1"/>
        <w:widowControl w:val="0"/>
        <w:spacing w:line="240" w:lineRule="auto"/>
        <w:jc w:val="both"/>
        <w:rPr>
          <w:rFonts w:ascii="Century Gothic" w:eastAsia="Century Gothic" w:hAnsi="Century Gothic" w:cs="Century Gothic"/>
          <w:lang w:val="es-ES_tradnl"/>
        </w:rPr>
      </w:pPr>
    </w:p>
    <w:p w14:paraId="65C828C7" w14:textId="77777777" w:rsidR="000A4282" w:rsidRPr="00145BF7" w:rsidRDefault="009C0358">
      <w:pPr>
        <w:pStyle w:val="Normal1"/>
        <w:widowControl w:val="0"/>
        <w:spacing w:line="240" w:lineRule="auto"/>
        <w:jc w:val="both"/>
        <w:rPr>
          <w:rFonts w:ascii="Century Gothic" w:eastAsia="Century Gothic" w:hAnsi="Century Gothic" w:cs="Century Gothic"/>
          <w:lang w:val="es-ES_tradnl"/>
        </w:rPr>
      </w:pPr>
      <w:r w:rsidRPr="00145BF7">
        <w:rPr>
          <w:rFonts w:ascii="Century Gothic" w:eastAsia="Century Gothic" w:hAnsi="Century Gothic" w:cs="Century Gothic"/>
          <w:lang w:val="es-ES_tradnl"/>
        </w:rPr>
        <w:t xml:space="preserve">Se seleccionaron 27 artistas a través de una convocatoria abierta, la cual rompió record histórico con 302 aplicaciones nacionales e internacionales. De 27 artistas seleccionados, 7 fueron locales, 19 foráneos de estados como: Baja California, Tlaxcala, Zacatecas, Nuevo León, Estado de México, Hidalgo, Quintana Roo, Veracruz, Puebla, Ciudad de México, Morelos y Oaxaca; y uno de Granada, España. </w:t>
      </w:r>
    </w:p>
    <w:p w14:paraId="4AD151BA" w14:textId="77777777" w:rsidR="000A4282" w:rsidRPr="00145BF7" w:rsidRDefault="000A4282">
      <w:pPr>
        <w:pStyle w:val="Normal1"/>
        <w:widowControl w:val="0"/>
        <w:spacing w:line="240" w:lineRule="auto"/>
        <w:jc w:val="both"/>
        <w:rPr>
          <w:rFonts w:ascii="Century Gothic" w:eastAsia="Century Gothic" w:hAnsi="Century Gothic" w:cs="Century Gothic"/>
          <w:lang w:val="es-ES_tradnl"/>
        </w:rPr>
      </w:pPr>
    </w:p>
    <w:p w14:paraId="5B393AF0" w14:textId="77777777" w:rsidR="000A4282" w:rsidRPr="00145BF7" w:rsidRDefault="009C0358">
      <w:pPr>
        <w:pStyle w:val="Normal1"/>
        <w:widowControl w:val="0"/>
        <w:spacing w:line="240" w:lineRule="auto"/>
        <w:jc w:val="both"/>
        <w:rPr>
          <w:rFonts w:ascii="Century Gothic" w:eastAsia="Century Gothic" w:hAnsi="Century Gothic" w:cs="Century Gothic"/>
          <w:lang w:val="es-ES_tradnl"/>
        </w:rPr>
      </w:pPr>
      <w:r w:rsidRPr="00145BF7">
        <w:rPr>
          <w:rFonts w:ascii="Century Gothic" w:eastAsia="Century Gothic" w:hAnsi="Century Gothic" w:cs="Century Gothic"/>
          <w:lang w:val="es-ES_tradnl"/>
        </w:rPr>
        <w:t>Para realizar los bocetos de los murales, los artistas llevaron a cabo investigaciones con la comunidad. A través de la Casa del Libro Sudcaliforniano, se revisaron registros impresos con el fin de adentrarse a historias, narrativas y  elementos que otorgan identidad a La Paz, Baja California Sur.  Los artistas participaron en charlas y actividades con organizaciones de la sociedad civil como Niparajá, Urbanería, Noroeste Sustentable, Ecology Project International y Sudcalifornios Verdes representando investigadores, escritores, historiadores, jóvenes, pescadores, a través de tres generaciones de la comunidad del Manglito.  Así mismo, se generaron 5 talleres impartidos por parte de Colectivo Tomate para la comunidad.</w:t>
      </w:r>
    </w:p>
    <w:p w14:paraId="3D96F862" w14:textId="77777777" w:rsidR="000A4282" w:rsidRPr="00145BF7" w:rsidRDefault="000A4282">
      <w:pPr>
        <w:pStyle w:val="Normal1"/>
        <w:widowControl w:val="0"/>
        <w:spacing w:line="240" w:lineRule="auto"/>
        <w:jc w:val="both"/>
        <w:rPr>
          <w:rFonts w:ascii="Century Gothic" w:eastAsia="Century Gothic" w:hAnsi="Century Gothic" w:cs="Century Gothic"/>
          <w:lang w:val="es-ES_tradnl"/>
        </w:rPr>
      </w:pPr>
    </w:p>
    <w:p w14:paraId="63C3905B" w14:textId="77777777" w:rsidR="000A4282" w:rsidRPr="00145BF7" w:rsidRDefault="009C0358">
      <w:pPr>
        <w:pStyle w:val="Normal1"/>
        <w:widowControl w:val="0"/>
        <w:spacing w:line="240" w:lineRule="auto"/>
        <w:jc w:val="both"/>
        <w:rPr>
          <w:rFonts w:ascii="Century Gothic" w:eastAsia="Century Gothic" w:hAnsi="Century Gothic" w:cs="Century Gothic"/>
          <w:lang w:val="es-ES_tradnl"/>
        </w:rPr>
      </w:pPr>
      <w:r w:rsidRPr="00145BF7">
        <w:rPr>
          <w:rFonts w:ascii="Century Gothic" w:eastAsia="Century Gothic" w:hAnsi="Century Gothic" w:cs="Century Gothic"/>
          <w:lang w:val="es-ES_tradnl"/>
        </w:rPr>
        <w:t>En Ciudad Mural La Paz, del  24 de febrero al 12 de marzo se realizaron  26 murales en gran formato que refuerzan las historias fundacionales, identidades locales y conservación de los recursos marinos; abarcando un área de 1,350 metros cuadrados, utilizando 550 litros de pintura y 480 aerosoles.</w:t>
      </w:r>
    </w:p>
    <w:p w14:paraId="6085DB35" w14:textId="77777777" w:rsidR="000A4282" w:rsidRPr="00145BF7" w:rsidRDefault="000A4282">
      <w:pPr>
        <w:pStyle w:val="Normal1"/>
        <w:widowControl w:val="0"/>
        <w:spacing w:line="240" w:lineRule="auto"/>
        <w:jc w:val="both"/>
        <w:rPr>
          <w:rFonts w:ascii="Century Gothic" w:eastAsia="Century Gothic" w:hAnsi="Century Gothic" w:cs="Century Gothic"/>
          <w:lang w:val="es-ES_tradnl"/>
        </w:rPr>
      </w:pPr>
      <w:bookmarkStart w:id="0" w:name="_3znysh7" w:colFirst="0" w:colLast="0"/>
      <w:bookmarkEnd w:id="0"/>
    </w:p>
    <w:p w14:paraId="24777202" w14:textId="77777777" w:rsidR="000A4282" w:rsidRPr="00145BF7" w:rsidRDefault="000A4282">
      <w:pPr>
        <w:pStyle w:val="Normal1"/>
        <w:widowControl w:val="0"/>
        <w:spacing w:line="240" w:lineRule="auto"/>
        <w:jc w:val="both"/>
        <w:rPr>
          <w:rFonts w:ascii="Century Gothic" w:eastAsia="Century Gothic" w:hAnsi="Century Gothic" w:cs="Century Gothic"/>
          <w:sz w:val="24"/>
          <w:szCs w:val="24"/>
          <w:lang w:val="es-ES_tradnl"/>
        </w:rPr>
      </w:pPr>
      <w:bookmarkStart w:id="1" w:name="_GoBack"/>
      <w:bookmarkEnd w:id="1"/>
    </w:p>
    <w:sectPr w:rsidR="000A4282" w:rsidRPr="00145BF7">
      <w:head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39AA4" w14:textId="77777777" w:rsidR="00145BF7" w:rsidRDefault="00145BF7">
      <w:pPr>
        <w:spacing w:line="240" w:lineRule="auto"/>
      </w:pPr>
      <w:r>
        <w:separator/>
      </w:r>
    </w:p>
  </w:endnote>
  <w:endnote w:type="continuationSeparator" w:id="0">
    <w:p w14:paraId="3C4647C3" w14:textId="77777777" w:rsidR="00145BF7" w:rsidRDefault="00145B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D79F1" w14:textId="77777777" w:rsidR="00145BF7" w:rsidRDefault="00145BF7">
      <w:pPr>
        <w:spacing w:line="240" w:lineRule="auto"/>
      </w:pPr>
      <w:r>
        <w:separator/>
      </w:r>
    </w:p>
  </w:footnote>
  <w:footnote w:type="continuationSeparator" w:id="0">
    <w:p w14:paraId="4A2430BE" w14:textId="77777777" w:rsidR="00145BF7" w:rsidRDefault="00145B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D86C5" w14:textId="77777777" w:rsidR="000F59C0" w:rsidRDefault="000F59C0" w:rsidP="000F59C0">
    <w:pPr>
      <w:pStyle w:val="Normal1"/>
      <w:widowControl w:val="0"/>
      <w:spacing w:line="240" w:lineRule="auto"/>
      <w:jc w:val="center"/>
      <w:rPr>
        <w:rFonts w:ascii="Century Gothic" w:eastAsia="Century Gothic" w:hAnsi="Century Gothic" w:cs="Century Gothic"/>
        <w:b/>
        <w:lang w:val="es-ES_tradnl"/>
      </w:rPr>
    </w:pPr>
    <w:bookmarkStart w:id="2" w:name="_30j0zll" w:colFirst="0" w:colLast="0"/>
    <w:bookmarkStart w:id="3" w:name="_1fob9te" w:colFirst="0" w:colLast="0"/>
    <w:bookmarkEnd w:id="2"/>
    <w:bookmarkEnd w:id="3"/>
  </w:p>
  <w:p w14:paraId="7F66B843" w14:textId="0C27E852" w:rsidR="000F59C0" w:rsidRDefault="000F59C0" w:rsidP="000F59C0">
    <w:pPr>
      <w:pStyle w:val="Normal1"/>
      <w:widowControl w:val="0"/>
      <w:spacing w:line="240" w:lineRule="auto"/>
      <w:jc w:val="center"/>
      <w:rPr>
        <w:rFonts w:ascii="Century Gothic" w:eastAsia="Century Gothic" w:hAnsi="Century Gothic" w:cs="Century Gothic"/>
        <w:b/>
        <w:lang w:val="es-ES_tradnl"/>
      </w:rPr>
    </w:pPr>
    <w:r w:rsidRPr="00145BF7">
      <w:rPr>
        <w:rFonts w:ascii="Century Gothic" w:eastAsia="Century Gothic" w:hAnsi="Century Gothic" w:cs="Century Gothic"/>
        <w:b/>
        <w:lang w:val="es-ES_tradnl"/>
      </w:rPr>
      <w:t>Ciudad Mural La Paz</w:t>
    </w:r>
  </w:p>
  <w:p w14:paraId="72084077" w14:textId="419E1BA7" w:rsidR="000F59C0" w:rsidRPr="000F59C0" w:rsidRDefault="000F59C0" w:rsidP="000F59C0">
    <w:pPr>
      <w:pStyle w:val="Normal1"/>
      <w:widowControl w:val="0"/>
      <w:spacing w:line="240" w:lineRule="auto"/>
      <w:jc w:val="center"/>
      <w:rPr>
        <w:rFonts w:ascii="Century Gothic" w:eastAsia="Century Gothic" w:hAnsi="Century Gothic" w:cs="Century Gothic"/>
        <w:lang w:val="es-ES_tradnl"/>
      </w:rPr>
    </w:pPr>
    <w:r>
      <w:rPr>
        <w:rFonts w:ascii="Century Gothic" w:eastAsia="Century Gothic" w:hAnsi="Century Gothic" w:cs="Century Gothic"/>
        <w:b/>
        <w:lang w:val="es-ES_tradnl"/>
      </w:rPr>
      <w:t>Reporte general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FC5054"/>
    <w:multiLevelType w:val="hybridMultilevel"/>
    <w:tmpl w:val="C406D43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82"/>
    <w:rsid w:val="000A4282"/>
    <w:rsid w:val="000F59C0"/>
    <w:rsid w:val="00145BF7"/>
    <w:rsid w:val="003B38F2"/>
    <w:rsid w:val="00554CC0"/>
    <w:rsid w:val="005878D6"/>
    <w:rsid w:val="009C0358"/>
    <w:rsid w:val="00C9472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2F9D46"/>
  <w15:docId w15:val="{1A846CD4-2246-467F-B83A-056604B3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s-MX" w:eastAsia="es-E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1"/>
    <w:next w:val="Normal1"/>
    <w:pPr>
      <w:keepNext/>
      <w:keepLines/>
      <w:spacing w:before="400" w:after="120"/>
      <w:outlineLvl w:val="0"/>
    </w:pPr>
    <w:rPr>
      <w:sz w:val="40"/>
      <w:szCs w:val="40"/>
    </w:rPr>
  </w:style>
  <w:style w:type="paragraph" w:styleId="Ttulo2">
    <w:name w:val="heading 2"/>
    <w:basedOn w:val="Normal1"/>
    <w:next w:val="Normal1"/>
    <w:pPr>
      <w:keepNext/>
      <w:keepLines/>
      <w:spacing w:before="360" w:after="120"/>
      <w:outlineLvl w:val="1"/>
    </w:pPr>
    <w:rPr>
      <w:sz w:val="32"/>
      <w:szCs w:val="32"/>
    </w:rPr>
  </w:style>
  <w:style w:type="paragraph" w:styleId="Ttulo3">
    <w:name w:val="heading 3"/>
    <w:basedOn w:val="Normal1"/>
    <w:next w:val="Normal1"/>
    <w:pPr>
      <w:keepNext/>
      <w:keepLines/>
      <w:spacing w:before="320" w:after="80"/>
      <w:outlineLvl w:val="2"/>
    </w:pPr>
    <w:rPr>
      <w:color w:val="434343"/>
      <w:sz w:val="28"/>
      <w:szCs w:val="28"/>
    </w:rPr>
  </w:style>
  <w:style w:type="paragraph" w:styleId="Ttulo4">
    <w:name w:val="heading 4"/>
    <w:basedOn w:val="Normal1"/>
    <w:next w:val="Normal1"/>
    <w:pPr>
      <w:keepNext/>
      <w:keepLines/>
      <w:spacing w:before="280" w:after="80"/>
      <w:outlineLvl w:val="3"/>
    </w:pPr>
    <w:rPr>
      <w:color w:val="666666"/>
      <w:sz w:val="24"/>
      <w:szCs w:val="24"/>
    </w:rPr>
  </w:style>
  <w:style w:type="paragraph" w:styleId="Ttulo5">
    <w:name w:val="heading 5"/>
    <w:basedOn w:val="Normal1"/>
    <w:next w:val="Normal1"/>
    <w:pPr>
      <w:keepNext/>
      <w:keepLines/>
      <w:spacing w:before="240" w:after="80"/>
      <w:outlineLvl w:val="4"/>
    </w:pPr>
    <w:rPr>
      <w:color w:val="666666"/>
    </w:rPr>
  </w:style>
  <w:style w:type="paragraph" w:styleId="Ttulo6">
    <w:name w:val="heading 6"/>
    <w:basedOn w:val="Normal1"/>
    <w:next w:val="Normal1"/>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Puesto">
    <w:name w:val="Title"/>
    <w:basedOn w:val="Normal1"/>
    <w:next w:val="Normal1"/>
    <w:pPr>
      <w:keepNext/>
      <w:keepLines/>
      <w:spacing w:after="60"/>
    </w:pPr>
    <w:rPr>
      <w:sz w:val="52"/>
      <w:szCs w:val="52"/>
    </w:rPr>
  </w:style>
  <w:style w:type="paragraph" w:styleId="Subttulo">
    <w:name w:val="Subtitle"/>
    <w:basedOn w:val="Normal1"/>
    <w:next w:val="Normal1"/>
    <w:pPr>
      <w:keepNext/>
      <w:keepLines/>
      <w:spacing w:after="320"/>
    </w:pPr>
    <w:rPr>
      <w:color w:val="666666"/>
      <w:sz w:val="30"/>
      <w:szCs w:val="30"/>
    </w:rPr>
  </w:style>
  <w:style w:type="paragraph" w:styleId="Encabezado">
    <w:name w:val="header"/>
    <w:basedOn w:val="Normal"/>
    <w:link w:val="EncabezadoCar"/>
    <w:uiPriority w:val="99"/>
    <w:unhideWhenUsed/>
    <w:rsid w:val="00554CC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554CC0"/>
  </w:style>
  <w:style w:type="paragraph" w:styleId="Piedepgina">
    <w:name w:val="footer"/>
    <w:basedOn w:val="Normal"/>
    <w:link w:val="PiedepginaCar"/>
    <w:uiPriority w:val="99"/>
    <w:unhideWhenUsed/>
    <w:rsid w:val="00554CC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54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1645</Characters>
  <Application>Microsoft Office Word</Application>
  <DocSecurity>4</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Colegio Americano de Puebla</Company>
  <LinksUpToDate>false</LinksUpToDate>
  <CharactersWithSpaces>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Hernandez Castro, Ma.Idelia</dc:creator>
  <cp:lastModifiedBy>Hernandez Castro, Ma.Idelia</cp:lastModifiedBy>
  <cp:revision>2</cp:revision>
  <dcterms:created xsi:type="dcterms:W3CDTF">2017-10-10T18:21:00Z</dcterms:created>
  <dcterms:modified xsi:type="dcterms:W3CDTF">2017-10-10T18:21:00Z</dcterms:modified>
</cp:coreProperties>
</file>